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Document and communicate results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 your MESA composition notebook, record your bridge’s testing and evaluation process.  Be sure to include how your bridge compared to the specifications, testing results when applicable, strengths and weaknesses of the design, and reflect on what you learned from the project.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Communicate the above information to the class.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