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contextualSpacing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PAPER THROW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Type of Competition: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Composition of Team: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Team (1 or 2 persons per team)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Overview:   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Design and build a “complicated” device from the available supplies to launch a crumbled half-sheet of 8 ½ x 11 paper the farthest distance.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Materials: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(per group)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 – crumbled half-sheet of paper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 – plastic water bottle or soda can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 – piece of string (24 in), any type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 – marbles or equivalent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 – plastic spoons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 – standard paper sized (8 ½ X 11 in) pieces of foam board OR recycled cardboard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5 – straws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5 small paper clips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5 large paper clips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10 – craft sticks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10 – rubber bands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following general classroom supplies may be used:  Scissors, box cutters or other cutting tools, Masking tape, Glue guns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Constraints: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Only the available supplies may be used.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Device must have at least two different sequential and dependent actions.  The action to initiate the device may count as one of the at least two actions.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Device must use two different types of energy (e.g. gravity, elastic, etc.)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Team may not assist in the tossing of the paper in any way (device must launch it on its own).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Teams may hold down device OR attach it to the table/desk/etc. if necessary.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Teams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use as many of the supplies as possible when building the device.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Metrics: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Ability to toss the crumbled paper the farthest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The use of supplies (using as many as possible) may also be used as a metric.  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uppl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 “use”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can be measured by counting how many items are left over (from the build) from those given.  A ratio can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be used (distance/supplies left over)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to assess device performance.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651635" cy="46609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1635" cy="466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