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Pick-Up Challenge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Type of Competition: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Composition of Team: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 (1 or 2 persons per team)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Overview: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design and build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device that will be able to safely pick up things.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Materials: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ft of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string (twine, cotton string, yarn)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rubber bands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pair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plastic gloves,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coffee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stir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ftsticks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sheets of paper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straws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Roll of tape (scotch or masking).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Pair of scissors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Amount of materials can vary,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be based on your availability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Materials to be picked-up (chemicals) can also vary, but may include empty 16 oz water bottles, half-filled 16 oz water bottles, empty soda cans, small soup cans, small boxes, etc.  Having a variety is best.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Story: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are cleaning your school’s laboratory, and come across some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mysterious and dangerous looking “chemicals.”  You can’t touch the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chemicals  directly, and they need to be moved as quickly as possible. With the spare materials in your classroom, make a device that will be able to pick up as many of the “chemicals” as possible.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Constraints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Must be a working model with moveable parts.  Tape cannot be used by itself, or as a “lasso” to pick-up objects.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Must be able to pick up objects without outside assistance, like from other team members or other devices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Device must be self-contained (eg. device cannot be anchored or tethered).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Device must be controlled only using one hand/arm.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a single device can be built.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Metrics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Successful teams will be those that can pick-up the most objects (of those provided) and/or the heaviest objects.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651635" cy="46609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635" cy="466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