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CB" w:rsidRDefault="000823CB" w:rsidP="000823CB">
      <w:pPr>
        <w:spacing w:after="120"/>
        <w:ind w:left="18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</w:rPr>
        <w:drawing>
          <wp:inline distT="0" distB="0" distL="0" distR="0">
            <wp:extent cx="3081657" cy="788810"/>
            <wp:effectExtent l="19050" t="0" r="4443" b="0"/>
            <wp:docPr id="1" name="Picture 0" descr="Color medium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medium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3199" cy="791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928" w:rsidRPr="00170928" w:rsidRDefault="00170928" w:rsidP="00170928">
      <w:pPr>
        <w:pStyle w:val="NoSpacing"/>
        <w:rPr>
          <w:sz w:val="16"/>
          <w:szCs w:val="16"/>
        </w:rPr>
      </w:pPr>
    </w:p>
    <w:p w:rsidR="00E25AF7" w:rsidRDefault="00170928" w:rsidP="00CF430E">
      <w:pPr>
        <w:spacing w:after="120"/>
        <w:ind w:right="-360"/>
        <w:jc w:val="center"/>
        <w:rPr>
          <w:rFonts w:cs="Arial"/>
          <w:b/>
          <w:sz w:val="36"/>
          <w:szCs w:val="36"/>
        </w:rPr>
      </w:pPr>
      <w:r w:rsidRPr="00170928">
        <w:rPr>
          <w:rFonts w:cs="Arial"/>
          <w:b/>
          <w:noProof/>
          <w:sz w:val="36"/>
          <w:szCs w:val="36"/>
        </w:rPr>
        <w:drawing>
          <wp:inline distT="0" distB="0" distL="0" distR="0">
            <wp:extent cx="1668914" cy="2212234"/>
            <wp:effectExtent l="19050" t="0" r="7486" b="0"/>
            <wp:docPr id="6" name="Picture 2" descr="NAS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A 4.JPG"/>
                    <pic:cNvPicPr/>
                  </pic:nvPicPr>
                  <pic:blipFill>
                    <a:blip r:embed="rId8" cstate="print"/>
                    <a:srcRect l="24409" t="5865" r="21760" b="2396"/>
                    <a:stretch>
                      <a:fillRect/>
                    </a:stretch>
                  </pic:blipFill>
                  <pic:spPr>
                    <a:xfrm>
                      <a:off x="0" y="0"/>
                      <a:ext cx="1668914" cy="221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36"/>
          <w:szCs w:val="36"/>
        </w:rPr>
        <w:t xml:space="preserve">  </w:t>
      </w:r>
      <w:r w:rsidR="00594AB2">
        <w:rPr>
          <w:rFonts w:cs="Arial"/>
          <w:b/>
          <w:sz w:val="36"/>
          <w:szCs w:val="36"/>
        </w:rPr>
        <w:t xml:space="preserve"> </w:t>
      </w:r>
      <w:r w:rsidR="009A5F7D" w:rsidRPr="009A5F7D">
        <w:rPr>
          <w:rFonts w:cs="Arial"/>
          <w:b/>
          <w:noProof/>
          <w:sz w:val="36"/>
          <w:szCs w:val="36"/>
        </w:rPr>
        <w:drawing>
          <wp:inline distT="0" distB="0" distL="0" distR="0">
            <wp:extent cx="1488344" cy="2196390"/>
            <wp:effectExtent l="19050" t="0" r="0" b="0"/>
            <wp:docPr id="10" name="Picture 3" descr="SJSU graduation 09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SU graduation 09 9.JPG"/>
                    <pic:cNvPicPr/>
                  </pic:nvPicPr>
                  <pic:blipFill>
                    <a:blip r:embed="rId9" cstate="print"/>
                    <a:srcRect l="29721" r="38390" b="29302"/>
                    <a:stretch>
                      <a:fillRect/>
                    </a:stretch>
                  </pic:blipFill>
                  <pic:spPr>
                    <a:xfrm>
                      <a:off x="0" y="0"/>
                      <a:ext cx="1488344" cy="21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F7D">
        <w:rPr>
          <w:rFonts w:cs="Arial"/>
          <w:b/>
          <w:sz w:val="36"/>
          <w:szCs w:val="36"/>
        </w:rPr>
        <w:t xml:space="preserve">    </w:t>
      </w:r>
      <w:r w:rsidR="00594AB2" w:rsidRPr="00594AB2">
        <w:rPr>
          <w:rFonts w:cs="Arial"/>
          <w:b/>
          <w:noProof/>
          <w:sz w:val="36"/>
          <w:szCs w:val="36"/>
        </w:rPr>
        <w:drawing>
          <wp:inline distT="0" distB="0" distL="0" distR="0">
            <wp:extent cx="1578314" cy="2200275"/>
            <wp:effectExtent l="19050" t="0" r="2836" b="0"/>
            <wp:docPr id="9" name="Picture 2" descr="P4187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187973.JPG"/>
                    <pic:cNvPicPr/>
                  </pic:nvPicPr>
                  <pic:blipFill>
                    <a:blip r:embed="rId10" cstate="print"/>
                    <a:srcRect l="26087" t="2066" r="22434" b="2440"/>
                    <a:stretch>
                      <a:fillRect/>
                    </a:stretch>
                  </pic:blipFill>
                  <pic:spPr>
                    <a:xfrm>
                      <a:off x="0" y="0"/>
                      <a:ext cx="1578314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4AB2">
        <w:rPr>
          <w:rFonts w:cs="Arial"/>
          <w:b/>
          <w:sz w:val="36"/>
          <w:szCs w:val="36"/>
        </w:rPr>
        <w:t xml:space="preserve">  </w:t>
      </w:r>
      <w:r>
        <w:rPr>
          <w:rFonts w:cs="Arial"/>
          <w:b/>
          <w:sz w:val="36"/>
          <w:szCs w:val="36"/>
        </w:rPr>
        <w:t xml:space="preserve">    </w:t>
      </w:r>
    </w:p>
    <w:p w:rsidR="00594AB2" w:rsidRDefault="00594AB2" w:rsidP="00594AB2">
      <w:pPr>
        <w:pStyle w:val="NoSpacing"/>
      </w:pPr>
    </w:p>
    <w:p w:rsidR="000823CB" w:rsidRPr="00001F99" w:rsidRDefault="001A6602" w:rsidP="00CF430E">
      <w:pPr>
        <w:spacing w:after="120"/>
        <w:jc w:val="center"/>
        <w:rPr>
          <w:rFonts w:cs="Arial"/>
          <w:b/>
          <w:sz w:val="40"/>
          <w:szCs w:val="40"/>
        </w:rPr>
      </w:pPr>
      <w:r w:rsidRPr="00001F99">
        <w:rPr>
          <w:rFonts w:cs="Arial"/>
          <w:b/>
          <w:sz w:val="40"/>
          <w:szCs w:val="40"/>
        </w:rPr>
        <w:t>Providing a solution f</w:t>
      </w:r>
      <w:r w:rsidR="00A1292B" w:rsidRPr="00001F99">
        <w:rPr>
          <w:rFonts w:cs="Arial"/>
          <w:b/>
          <w:sz w:val="40"/>
          <w:szCs w:val="40"/>
        </w:rPr>
        <w:t>or California’s workforce needs</w:t>
      </w:r>
    </w:p>
    <w:p w:rsidR="00001F99" w:rsidRPr="00170928" w:rsidRDefault="00001F99" w:rsidP="000823CB">
      <w:pPr>
        <w:pStyle w:val="NoSpacing"/>
        <w:rPr>
          <w:b/>
          <w:sz w:val="16"/>
          <w:szCs w:val="16"/>
        </w:rPr>
      </w:pPr>
    </w:p>
    <w:p w:rsidR="000823CB" w:rsidRPr="00001F99" w:rsidRDefault="001A6602" w:rsidP="00001F99">
      <w:pPr>
        <w:pStyle w:val="NoSpacing"/>
        <w:rPr>
          <w:b/>
          <w:sz w:val="28"/>
          <w:szCs w:val="28"/>
        </w:rPr>
      </w:pPr>
      <w:r w:rsidRPr="000823CB">
        <w:rPr>
          <w:b/>
          <w:sz w:val="28"/>
          <w:szCs w:val="28"/>
        </w:rPr>
        <w:t xml:space="preserve">California faces a </w:t>
      </w:r>
      <w:r w:rsidR="00A1292B" w:rsidRPr="000823CB">
        <w:rPr>
          <w:b/>
          <w:sz w:val="28"/>
          <w:szCs w:val="28"/>
        </w:rPr>
        <w:t xml:space="preserve">technical </w:t>
      </w:r>
      <w:r w:rsidRPr="000823CB">
        <w:rPr>
          <w:b/>
          <w:sz w:val="28"/>
          <w:szCs w:val="28"/>
        </w:rPr>
        <w:t>workforce crisis.</w:t>
      </w:r>
    </w:p>
    <w:p w:rsidR="000823CB" w:rsidRPr="0028103D" w:rsidRDefault="00A8765D" w:rsidP="00001F9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</w:t>
      </w:r>
      <w:r w:rsidR="00A1292B" w:rsidRPr="0028103D">
        <w:rPr>
          <w:sz w:val="24"/>
          <w:szCs w:val="24"/>
        </w:rPr>
        <w:t xml:space="preserve"> Labor Secretary projects </w:t>
      </w:r>
      <w:r w:rsidR="001A6602" w:rsidRPr="0028103D">
        <w:rPr>
          <w:sz w:val="24"/>
          <w:szCs w:val="24"/>
        </w:rPr>
        <w:t xml:space="preserve">a </w:t>
      </w:r>
      <w:r w:rsidRPr="00A8765D">
        <w:rPr>
          <w:b/>
          <w:sz w:val="24"/>
          <w:szCs w:val="24"/>
        </w:rPr>
        <w:t xml:space="preserve">state </w:t>
      </w:r>
      <w:r w:rsidR="001A6602" w:rsidRPr="00A8765D">
        <w:rPr>
          <w:b/>
          <w:sz w:val="24"/>
          <w:szCs w:val="24"/>
        </w:rPr>
        <w:t>shortage</w:t>
      </w:r>
      <w:r w:rsidR="001A6602" w:rsidRPr="0028103D">
        <w:rPr>
          <w:sz w:val="24"/>
          <w:szCs w:val="24"/>
        </w:rPr>
        <w:t xml:space="preserve"> of 25,000 technical workers by 2016.</w:t>
      </w:r>
    </w:p>
    <w:p w:rsidR="0028103D" w:rsidRPr="00B81C9E" w:rsidRDefault="0028103D" w:rsidP="0028103D">
      <w:pPr>
        <w:pStyle w:val="ListParagraph"/>
        <w:spacing w:after="0"/>
        <w:rPr>
          <w:sz w:val="16"/>
          <w:szCs w:val="16"/>
        </w:rPr>
      </w:pPr>
    </w:p>
    <w:p w:rsidR="000823CB" w:rsidRPr="0028103D" w:rsidRDefault="001A6602" w:rsidP="00001F9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28103D">
        <w:rPr>
          <w:rFonts w:cs="Arial"/>
          <w:sz w:val="24"/>
          <w:szCs w:val="24"/>
        </w:rPr>
        <w:t xml:space="preserve">Latinos, African Americans and </w:t>
      </w:r>
      <w:r w:rsidR="000A544A">
        <w:rPr>
          <w:rFonts w:cs="Arial"/>
          <w:sz w:val="24"/>
          <w:szCs w:val="24"/>
        </w:rPr>
        <w:t xml:space="preserve">American Indians comprised </w:t>
      </w:r>
      <w:r w:rsidR="000A544A" w:rsidRPr="000A544A">
        <w:rPr>
          <w:rFonts w:cs="Arial"/>
          <w:b/>
          <w:sz w:val="24"/>
          <w:szCs w:val="24"/>
        </w:rPr>
        <w:t>43.7%</w:t>
      </w:r>
      <w:r w:rsidR="000A544A">
        <w:rPr>
          <w:rFonts w:cs="Arial"/>
          <w:sz w:val="24"/>
          <w:szCs w:val="24"/>
        </w:rPr>
        <w:t xml:space="preserve"> </w:t>
      </w:r>
      <w:r w:rsidRPr="0028103D">
        <w:rPr>
          <w:rFonts w:cs="Arial"/>
          <w:sz w:val="24"/>
          <w:szCs w:val="24"/>
        </w:rPr>
        <w:t xml:space="preserve">of </w:t>
      </w:r>
      <w:proofErr w:type="gramStart"/>
      <w:r w:rsidRPr="0028103D">
        <w:rPr>
          <w:rFonts w:cs="Arial"/>
          <w:sz w:val="24"/>
          <w:szCs w:val="24"/>
        </w:rPr>
        <w:t>California’s  population</w:t>
      </w:r>
      <w:proofErr w:type="gramEnd"/>
      <w:r w:rsidRPr="0028103D">
        <w:rPr>
          <w:rFonts w:cs="Arial"/>
          <w:sz w:val="24"/>
          <w:szCs w:val="24"/>
        </w:rPr>
        <w:t xml:space="preserve">, but received only </w:t>
      </w:r>
      <w:r w:rsidRPr="000A544A">
        <w:rPr>
          <w:rFonts w:cs="Arial"/>
          <w:b/>
          <w:sz w:val="24"/>
          <w:szCs w:val="24"/>
        </w:rPr>
        <w:t>13%</w:t>
      </w:r>
      <w:r w:rsidRPr="0028103D">
        <w:rPr>
          <w:rFonts w:cs="Arial"/>
          <w:sz w:val="24"/>
          <w:szCs w:val="24"/>
        </w:rPr>
        <w:t xml:space="preserve"> of all </w:t>
      </w:r>
      <w:r w:rsidR="000A544A">
        <w:rPr>
          <w:rFonts w:cs="Arial"/>
          <w:sz w:val="24"/>
          <w:szCs w:val="24"/>
        </w:rPr>
        <w:t>science, technology, engineering and math (STEM)</w:t>
      </w:r>
      <w:r w:rsidRPr="0028103D">
        <w:rPr>
          <w:rFonts w:cs="Arial"/>
          <w:sz w:val="24"/>
          <w:szCs w:val="24"/>
        </w:rPr>
        <w:t xml:space="preserve"> degrees, the </w:t>
      </w:r>
      <w:r w:rsidRPr="00A8765D">
        <w:rPr>
          <w:rFonts w:cs="Arial"/>
          <w:b/>
          <w:sz w:val="24"/>
          <w:szCs w:val="24"/>
        </w:rPr>
        <w:t>worst gap among all 50 states</w:t>
      </w:r>
      <w:r w:rsidRPr="0028103D">
        <w:rPr>
          <w:rFonts w:cs="Arial"/>
          <w:sz w:val="24"/>
          <w:szCs w:val="24"/>
        </w:rPr>
        <w:t>. At the same time, Latinos are the fastest-growing group in the state.</w:t>
      </w:r>
    </w:p>
    <w:p w:rsidR="0028103D" w:rsidRPr="00B81C9E" w:rsidRDefault="0028103D" w:rsidP="0028103D">
      <w:pPr>
        <w:spacing w:after="0"/>
        <w:rPr>
          <w:sz w:val="16"/>
          <w:szCs w:val="16"/>
        </w:rPr>
      </w:pPr>
    </w:p>
    <w:p w:rsidR="00A1292B" w:rsidRPr="0028103D" w:rsidRDefault="00A1292B" w:rsidP="00001F99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A8765D">
        <w:rPr>
          <w:rFonts w:cs="MyriaMM"/>
          <w:b/>
          <w:color w:val="000000"/>
          <w:sz w:val="24"/>
          <w:szCs w:val="24"/>
        </w:rPr>
        <w:t>Only Mississippi ranks lower than California</w:t>
      </w:r>
      <w:r w:rsidRPr="0028103D">
        <w:rPr>
          <w:rFonts w:cs="MyriaMM"/>
          <w:color w:val="000000"/>
          <w:sz w:val="24"/>
          <w:szCs w:val="24"/>
        </w:rPr>
        <w:t xml:space="preserve"> </w:t>
      </w:r>
      <w:r w:rsidRPr="0028103D">
        <w:rPr>
          <w:rFonts w:cs="Arial"/>
          <w:sz w:val="24"/>
          <w:szCs w:val="24"/>
        </w:rPr>
        <w:t xml:space="preserve">in </w:t>
      </w:r>
      <w:r w:rsidR="000A544A">
        <w:rPr>
          <w:rFonts w:cs="Arial"/>
          <w:sz w:val="24"/>
          <w:szCs w:val="24"/>
        </w:rPr>
        <w:t>8</w:t>
      </w:r>
      <w:r w:rsidR="000A544A" w:rsidRPr="000A544A">
        <w:rPr>
          <w:rFonts w:cs="Arial"/>
          <w:sz w:val="24"/>
          <w:szCs w:val="24"/>
          <w:vertAlign w:val="superscript"/>
        </w:rPr>
        <w:t>th</w:t>
      </w:r>
      <w:r w:rsidR="000A544A">
        <w:rPr>
          <w:rFonts w:cs="Arial"/>
          <w:sz w:val="24"/>
          <w:szCs w:val="24"/>
        </w:rPr>
        <w:t xml:space="preserve"> grade </w:t>
      </w:r>
      <w:r w:rsidRPr="0028103D">
        <w:rPr>
          <w:rFonts w:cs="Arial"/>
          <w:sz w:val="24"/>
          <w:szCs w:val="24"/>
        </w:rPr>
        <w:t>science and math proficiency.</w:t>
      </w:r>
    </w:p>
    <w:p w:rsidR="001A6602" w:rsidRDefault="001A6602" w:rsidP="001A6602">
      <w:pPr>
        <w:pStyle w:val="NoSpacing"/>
        <w:ind w:left="720"/>
      </w:pPr>
    </w:p>
    <w:p w:rsidR="00001F99" w:rsidRDefault="001A6602" w:rsidP="00001F99">
      <w:pPr>
        <w:spacing w:after="120"/>
        <w:outlineLvl w:val="0"/>
        <w:rPr>
          <w:rFonts w:cs="Arial"/>
          <w:b/>
          <w:sz w:val="28"/>
          <w:szCs w:val="28"/>
        </w:rPr>
      </w:pPr>
      <w:r w:rsidRPr="000823CB">
        <w:rPr>
          <w:rFonts w:cs="Arial"/>
          <w:b/>
          <w:sz w:val="28"/>
          <w:szCs w:val="28"/>
        </w:rPr>
        <w:t>MESA offers a successful and cost-effective solution.</w:t>
      </w:r>
    </w:p>
    <w:p w:rsidR="0028103D" w:rsidRDefault="00C53248" w:rsidP="0028103D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53</w:t>
      </w:r>
      <w:r w:rsidR="00001F99" w:rsidRPr="000A544A">
        <w:rPr>
          <w:b/>
          <w:sz w:val="24"/>
          <w:szCs w:val="24"/>
        </w:rPr>
        <w:t>%</w:t>
      </w:r>
      <w:r w:rsidR="00001F99" w:rsidRPr="0028103D">
        <w:rPr>
          <w:sz w:val="24"/>
          <w:szCs w:val="24"/>
        </w:rPr>
        <w:t xml:space="preserve"> of MESA’s pre-college students who go on to college </w:t>
      </w:r>
      <w:r w:rsidR="00001F99" w:rsidRPr="000A544A">
        <w:rPr>
          <w:b/>
          <w:sz w:val="24"/>
          <w:szCs w:val="24"/>
        </w:rPr>
        <w:t xml:space="preserve">become </w:t>
      </w:r>
      <w:r w:rsidR="000A544A">
        <w:rPr>
          <w:b/>
          <w:sz w:val="24"/>
          <w:szCs w:val="24"/>
        </w:rPr>
        <w:t xml:space="preserve">STEM </w:t>
      </w:r>
      <w:r w:rsidR="00001F99" w:rsidRPr="000A544A">
        <w:rPr>
          <w:b/>
          <w:sz w:val="24"/>
          <w:szCs w:val="24"/>
        </w:rPr>
        <w:t>majors</w:t>
      </w:r>
      <w:r w:rsidR="00001F99" w:rsidRPr="0028103D">
        <w:rPr>
          <w:sz w:val="24"/>
          <w:szCs w:val="24"/>
        </w:rPr>
        <w:t xml:space="preserve">. Most </w:t>
      </w:r>
      <w:r w:rsidR="000A544A">
        <w:rPr>
          <w:sz w:val="24"/>
          <w:szCs w:val="24"/>
        </w:rPr>
        <w:t>are from</w:t>
      </w:r>
      <w:r w:rsidR="00001F99" w:rsidRPr="0028103D">
        <w:rPr>
          <w:sz w:val="24"/>
          <w:szCs w:val="24"/>
        </w:rPr>
        <w:t xml:space="preserve"> among </w:t>
      </w:r>
      <w:proofErr w:type="gramStart"/>
      <w:r w:rsidR="000A544A">
        <w:rPr>
          <w:sz w:val="24"/>
          <w:szCs w:val="24"/>
        </w:rPr>
        <w:t xml:space="preserve">California’s </w:t>
      </w:r>
      <w:r w:rsidR="00001F99" w:rsidRPr="0028103D">
        <w:rPr>
          <w:sz w:val="24"/>
          <w:szCs w:val="24"/>
        </w:rPr>
        <w:t xml:space="preserve"> lowest</w:t>
      </w:r>
      <w:proofErr w:type="gramEnd"/>
      <w:r w:rsidR="00001F99" w:rsidRPr="0028103D">
        <w:rPr>
          <w:sz w:val="24"/>
          <w:szCs w:val="24"/>
        </w:rPr>
        <w:t xml:space="preserve">-performing </w:t>
      </w:r>
      <w:r w:rsidR="000A544A">
        <w:rPr>
          <w:sz w:val="24"/>
          <w:szCs w:val="24"/>
        </w:rPr>
        <w:t>schools</w:t>
      </w:r>
      <w:r w:rsidR="0028103D" w:rsidRPr="0028103D">
        <w:rPr>
          <w:sz w:val="24"/>
          <w:szCs w:val="24"/>
        </w:rPr>
        <w:t>.</w:t>
      </w:r>
    </w:p>
    <w:p w:rsidR="0028103D" w:rsidRPr="00B81C9E" w:rsidRDefault="0028103D" w:rsidP="0028103D">
      <w:pPr>
        <w:pStyle w:val="NoSpacing"/>
        <w:ind w:left="720"/>
        <w:rPr>
          <w:sz w:val="16"/>
          <w:szCs w:val="16"/>
        </w:rPr>
      </w:pPr>
    </w:p>
    <w:p w:rsidR="0028103D" w:rsidRDefault="00C53248" w:rsidP="0028103D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97</w:t>
      </w:r>
      <w:r w:rsidR="001A6602" w:rsidRPr="000A544A">
        <w:rPr>
          <w:b/>
          <w:sz w:val="24"/>
          <w:szCs w:val="24"/>
        </w:rPr>
        <w:t>%</w:t>
      </w:r>
      <w:r w:rsidR="001A6602" w:rsidRPr="0028103D">
        <w:rPr>
          <w:sz w:val="24"/>
          <w:szCs w:val="24"/>
        </w:rPr>
        <w:t xml:space="preserve"> of MESA’s community college students</w:t>
      </w:r>
      <w:r w:rsidR="00202122">
        <w:rPr>
          <w:sz w:val="24"/>
          <w:szCs w:val="24"/>
        </w:rPr>
        <w:t xml:space="preserve"> who enroll in four-year institutions</w:t>
      </w:r>
      <w:r w:rsidR="001A6602" w:rsidRPr="0028103D">
        <w:rPr>
          <w:sz w:val="24"/>
          <w:szCs w:val="24"/>
        </w:rPr>
        <w:t xml:space="preserve"> </w:t>
      </w:r>
      <w:r w:rsidR="001A6602" w:rsidRPr="000A544A">
        <w:rPr>
          <w:b/>
          <w:sz w:val="24"/>
          <w:szCs w:val="24"/>
        </w:rPr>
        <w:t>transfer to universities as STEM majors</w:t>
      </w:r>
      <w:r w:rsidR="001A6602" w:rsidRPr="0028103D">
        <w:rPr>
          <w:sz w:val="24"/>
          <w:szCs w:val="24"/>
        </w:rPr>
        <w:t xml:space="preserve">. MESA also supports university-level </w:t>
      </w:r>
      <w:proofErr w:type="gramStart"/>
      <w:r w:rsidR="001A6602" w:rsidRPr="0028103D">
        <w:rPr>
          <w:sz w:val="24"/>
          <w:szCs w:val="24"/>
        </w:rPr>
        <w:t>educationally</w:t>
      </w:r>
      <w:proofErr w:type="gramEnd"/>
      <w:r w:rsidR="001A6602" w:rsidRPr="0028103D">
        <w:rPr>
          <w:sz w:val="24"/>
          <w:szCs w:val="24"/>
        </w:rPr>
        <w:t xml:space="preserve"> disadvantaged students who are engineering or computer science majors.</w:t>
      </w:r>
    </w:p>
    <w:p w:rsidR="0028103D" w:rsidRPr="00B81C9E" w:rsidRDefault="0028103D" w:rsidP="0028103D">
      <w:pPr>
        <w:pStyle w:val="NoSpacing"/>
        <w:rPr>
          <w:sz w:val="16"/>
          <w:szCs w:val="16"/>
        </w:rPr>
      </w:pPr>
    </w:p>
    <w:p w:rsidR="0028103D" w:rsidRDefault="001A6602" w:rsidP="0028103D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28103D">
        <w:rPr>
          <w:sz w:val="24"/>
          <w:szCs w:val="24"/>
        </w:rPr>
        <w:t>MESA</w:t>
      </w:r>
      <w:r w:rsidR="00A1292B" w:rsidRPr="0028103D">
        <w:rPr>
          <w:sz w:val="24"/>
          <w:szCs w:val="24"/>
        </w:rPr>
        <w:t>’s state funding allocation averages</w:t>
      </w:r>
      <w:r w:rsidRPr="0028103D">
        <w:rPr>
          <w:sz w:val="24"/>
          <w:szCs w:val="24"/>
        </w:rPr>
        <w:t xml:space="preserve"> </w:t>
      </w:r>
      <w:r w:rsidRPr="000A544A">
        <w:rPr>
          <w:b/>
          <w:sz w:val="24"/>
          <w:szCs w:val="24"/>
        </w:rPr>
        <w:t>$2</w:t>
      </w:r>
      <w:r w:rsidR="00170928" w:rsidRPr="000A544A">
        <w:rPr>
          <w:b/>
          <w:sz w:val="24"/>
          <w:szCs w:val="24"/>
        </w:rPr>
        <w:t>07</w:t>
      </w:r>
      <w:r w:rsidRPr="0028103D">
        <w:rPr>
          <w:sz w:val="24"/>
          <w:szCs w:val="24"/>
        </w:rPr>
        <w:t xml:space="preserve"> per student—</w:t>
      </w:r>
      <w:r w:rsidRPr="000A544A">
        <w:rPr>
          <w:b/>
          <w:sz w:val="24"/>
          <w:szCs w:val="24"/>
        </w:rPr>
        <w:t>far less than the average $3,252</w:t>
      </w:r>
      <w:r w:rsidRPr="0028103D">
        <w:rPr>
          <w:sz w:val="24"/>
          <w:szCs w:val="24"/>
        </w:rPr>
        <w:t xml:space="preserve"> per participant </w:t>
      </w:r>
      <w:r w:rsidR="00A1292B" w:rsidRPr="0028103D">
        <w:rPr>
          <w:sz w:val="24"/>
          <w:szCs w:val="24"/>
        </w:rPr>
        <w:t>spent</w:t>
      </w:r>
      <w:r w:rsidRPr="0028103D">
        <w:rPr>
          <w:sz w:val="24"/>
          <w:szCs w:val="24"/>
        </w:rPr>
        <w:t xml:space="preserve"> through the Upward Bou</w:t>
      </w:r>
      <w:r w:rsidR="0028103D" w:rsidRPr="0028103D">
        <w:rPr>
          <w:sz w:val="24"/>
          <w:szCs w:val="24"/>
        </w:rPr>
        <w:t>nd</w:t>
      </w:r>
      <w:r w:rsidRPr="0028103D">
        <w:rPr>
          <w:sz w:val="24"/>
          <w:szCs w:val="24"/>
        </w:rPr>
        <w:t xml:space="preserve"> and TRIO programs.</w:t>
      </w:r>
    </w:p>
    <w:p w:rsidR="0028103D" w:rsidRPr="00B81C9E" w:rsidRDefault="0028103D" w:rsidP="0028103D">
      <w:pPr>
        <w:pStyle w:val="NoSpacing"/>
        <w:rPr>
          <w:sz w:val="16"/>
          <w:szCs w:val="16"/>
        </w:rPr>
      </w:pPr>
    </w:p>
    <w:p w:rsidR="00A1292B" w:rsidRDefault="001A6602" w:rsidP="0028103D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A544A">
        <w:rPr>
          <w:b/>
          <w:sz w:val="24"/>
          <w:szCs w:val="24"/>
        </w:rPr>
        <w:t>MESA is supported by companies</w:t>
      </w:r>
      <w:r w:rsidRPr="0028103D">
        <w:rPr>
          <w:sz w:val="24"/>
          <w:szCs w:val="24"/>
        </w:rPr>
        <w:t xml:space="preserve"> such as AT&amp;T, Chevron, Hewlett-Packard, Pacific Gas and Electric, Sempra, Verizon, private foundations and federal sources. </w:t>
      </w:r>
    </w:p>
    <w:p w:rsidR="0028103D" w:rsidRPr="00B81C9E" w:rsidRDefault="0028103D" w:rsidP="0028103D">
      <w:pPr>
        <w:pStyle w:val="NoSpacing"/>
        <w:rPr>
          <w:sz w:val="16"/>
          <w:szCs w:val="16"/>
        </w:rPr>
      </w:pPr>
    </w:p>
    <w:p w:rsidR="0028103D" w:rsidRPr="00B81C9E" w:rsidRDefault="001A6602" w:rsidP="00B81C9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A544A">
        <w:rPr>
          <w:b/>
          <w:sz w:val="24"/>
          <w:szCs w:val="24"/>
        </w:rPr>
        <w:t>MESA has been replicated</w:t>
      </w:r>
      <w:r w:rsidRPr="0028103D">
        <w:rPr>
          <w:sz w:val="24"/>
          <w:szCs w:val="24"/>
        </w:rPr>
        <w:t xml:space="preserve"> in over a dozen states.</w:t>
      </w:r>
    </w:p>
    <w:p w:rsidR="00B81C9E" w:rsidRDefault="00B81C9E" w:rsidP="00B81C9E">
      <w:pPr>
        <w:pStyle w:val="BodyText"/>
        <w:spacing w:after="120"/>
        <w:jc w:val="right"/>
        <w:rPr>
          <w:rFonts w:asciiTheme="minorHAnsi" w:hAnsiTheme="minorHAnsi" w:cs="Arial"/>
          <w:szCs w:val="16"/>
        </w:rPr>
      </w:pPr>
    </w:p>
    <w:p w:rsidR="00C53248" w:rsidRPr="00B81C9E" w:rsidRDefault="00C53248" w:rsidP="00B81C9E">
      <w:pPr>
        <w:pStyle w:val="BodyText"/>
        <w:spacing w:after="120"/>
        <w:jc w:val="right"/>
        <w:rPr>
          <w:rFonts w:asciiTheme="minorHAnsi" w:hAnsiTheme="minorHAnsi" w:cs="Arial"/>
          <w:szCs w:val="16"/>
        </w:rPr>
      </w:pPr>
    </w:p>
    <w:p w:rsidR="0028103D" w:rsidRPr="000E6CE8" w:rsidRDefault="0028103D" w:rsidP="00C53248">
      <w:pPr>
        <w:pStyle w:val="BodyText"/>
        <w:spacing w:after="120"/>
        <w:rPr>
          <w:rFonts w:asciiTheme="minorHAnsi" w:hAnsiTheme="minorHAnsi" w:cs="Arial"/>
          <w:bCs w:val="0"/>
          <w:sz w:val="22"/>
          <w:szCs w:val="22"/>
        </w:rPr>
      </w:pPr>
      <w:r w:rsidRPr="00BC4D08">
        <w:rPr>
          <w:i/>
          <w:spacing w:val="-10"/>
          <w:sz w:val="19"/>
          <w:szCs w:val="19"/>
        </w:rPr>
        <w:t xml:space="preserve"> mesa.ucop.edu</w:t>
      </w:r>
    </w:p>
    <w:sectPr w:rsidR="0028103D" w:rsidRPr="000E6CE8" w:rsidSect="000823C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3F9" w:rsidRDefault="00B363F9" w:rsidP="001A6602">
      <w:pPr>
        <w:spacing w:after="0"/>
      </w:pPr>
      <w:r>
        <w:separator/>
      </w:r>
    </w:p>
  </w:endnote>
  <w:endnote w:type="continuationSeparator" w:id="0">
    <w:p w:rsidR="00B363F9" w:rsidRDefault="00B363F9" w:rsidP="001A66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is721 BT">
    <w:altName w:val="Swis72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MM">
    <w:altName w:val="MyriaM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3F9" w:rsidRDefault="00B363F9" w:rsidP="001A6602">
      <w:pPr>
        <w:spacing w:after="0"/>
      </w:pPr>
      <w:r>
        <w:separator/>
      </w:r>
    </w:p>
  </w:footnote>
  <w:footnote w:type="continuationSeparator" w:id="0">
    <w:p w:rsidR="00B363F9" w:rsidRDefault="00B363F9" w:rsidP="001A660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077"/>
    <w:multiLevelType w:val="hybridMultilevel"/>
    <w:tmpl w:val="8C40FB02"/>
    <w:lvl w:ilvl="0" w:tplc="1736FB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E4F51"/>
    <w:multiLevelType w:val="hybridMultilevel"/>
    <w:tmpl w:val="3F88B9CC"/>
    <w:lvl w:ilvl="0" w:tplc="1736FB5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040B07"/>
    <w:multiLevelType w:val="hybridMultilevel"/>
    <w:tmpl w:val="FBD4A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92546"/>
    <w:multiLevelType w:val="hybridMultilevel"/>
    <w:tmpl w:val="C1045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CE4820"/>
    <w:multiLevelType w:val="hybridMultilevel"/>
    <w:tmpl w:val="79CE5F40"/>
    <w:lvl w:ilvl="0" w:tplc="1736FB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40D8A"/>
    <w:multiLevelType w:val="hybridMultilevel"/>
    <w:tmpl w:val="5470C824"/>
    <w:lvl w:ilvl="0" w:tplc="1736FB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71D9D"/>
    <w:multiLevelType w:val="hybridMultilevel"/>
    <w:tmpl w:val="69E4C1A8"/>
    <w:lvl w:ilvl="0" w:tplc="1736FB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62CD1"/>
    <w:multiLevelType w:val="hybridMultilevel"/>
    <w:tmpl w:val="07081A00"/>
    <w:lvl w:ilvl="0" w:tplc="1736FB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52D60"/>
    <w:multiLevelType w:val="hybridMultilevel"/>
    <w:tmpl w:val="D46A7820"/>
    <w:lvl w:ilvl="0" w:tplc="1736FB5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6602"/>
    <w:rsid w:val="00001F99"/>
    <w:rsid w:val="00020AD4"/>
    <w:rsid w:val="0007293D"/>
    <w:rsid w:val="000823CB"/>
    <w:rsid w:val="00086E42"/>
    <w:rsid w:val="000A544A"/>
    <w:rsid w:val="000E6CE8"/>
    <w:rsid w:val="001171B9"/>
    <w:rsid w:val="00170928"/>
    <w:rsid w:val="001A1D58"/>
    <w:rsid w:val="001A5836"/>
    <w:rsid w:val="001A6602"/>
    <w:rsid w:val="001E393E"/>
    <w:rsid w:val="00202122"/>
    <w:rsid w:val="00255D0C"/>
    <w:rsid w:val="00262D33"/>
    <w:rsid w:val="002641D5"/>
    <w:rsid w:val="0028103D"/>
    <w:rsid w:val="00283A75"/>
    <w:rsid w:val="002A7134"/>
    <w:rsid w:val="002E5CAE"/>
    <w:rsid w:val="002F4AD7"/>
    <w:rsid w:val="003A5CD7"/>
    <w:rsid w:val="00417128"/>
    <w:rsid w:val="004312B8"/>
    <w:rsid w:val="00432259"/>
    <w:rsid w:val="00594AB2"/>
    <w:rsid w:val="005A75B2"/>
    <w:rsid w:val="005F7EB3"/>
    <w:rsid w:val="00657776"/>
    <w:rsid w:val="006719B3"/>
    <w:rsid w:val="00683E75"/>
    <w:rsid w:val="006B5BB4"/>
    <w:rsid w:val="00730D94"/>
    <w:rsid w:val="00741154"/>
    <w:rsid w:val="00760452"/>
    <w:rsid w:val="0079625C"/>
    <w:rsid w:val="008211CA"/>
    <w:rsid w:val="00854942"/>
    <w:rsid w:val="008A6710"/>
    <w:rsid w:val="008E05E1"/>
    <w:rsid w:val="00936BD5"/>
    <w:rsid w:val="0095093A"/>
    <w:rsid w:val="009A5F7D"/>
    <w:rsid w:val="009F125E"/>
    <w:rsid w:val="00A04201"/>
    <w:rsid w:val="00A10D54"/>
    <w:rsid w:val="00A1292B"/>
    <w:rsid w:val="00A86DDD"/>
    <w:rsid w:val="00A8765D"/>
    <w:rsid w:val="00A958D1"/>
    <w:rsid w:val="00B363F9"/>
    <w:rsid w:val="00B65F25"/>
    <w:rsid w:val="00B81C9E"/>
    <w:rsid w:val="00B856BC"/>
    <w:rsid w:val="00C53248"/>
    <w:rsid w:val="00C55AE3"/>
    <w:rsid w:val="00C81625"/>
    <w:rsid w:val="00CC09CF"/>
    <w:rsid w:val="00CF430E"/>
    <w:rsid w:val="00D97388"/>
    <w:rsid w:val="00DA7DCF"/>
    <w:rsid w:val="00DC6163"/>
    <w:rsid w:val="00DE1D52"/>
    <w:rsid w:val="00E25AF7"/>
    <w:rsid w:val="00E54C2A"/>
    <w:rsid w:val="00E85EFA"/>
    <w:rsid w:val="00E86A5E"/>
    <w:rsid w:val="00EB1060"/>
    <w:rsid w:val="00ED0418"/>
    <w:rsid w:val="00F042F0"/>
    <w:rsid w:val="00F75F17"/>
    <w:rsid w:val="00FA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A6602"/>
    <w:pPr>
      <w:spacing w:line="240" w:lineRule="auto"/>
    </w:pPr>
  </w:style>
  <w:style w:type="paragraph" w:styleId="Heading1">
    <w:name w:val="heading 1"/>
    <w:basedOn w:val="Normal"/>
    <w:link w:val="Heading1Char"/>
    <w:uiPriority w:val="9"/>
    <w:qFormat/>
    <w:rsid w:val="00B65F25"/>
    <w:pPr>
      <w:spacing w:after="0" w:line="260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5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F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5F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B65F25"/>
    <w:pPr>
      <w:spacing w:after="0" w:line="300" w:lineRule="atLeast"/>
      <w:outlineLvl w:val="5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F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65F25"/>
    <w:rPr>
      <w:rFonts w:ascii="Times New Roman" w:eastAsia="Times New Roman" w:hAnsi="Times New Roman" w:cs="Times New Roman"/>
      <w:b/>
      <w:bCs/>
      <w:color w:val="000000"/>
      <w:kern w:val="36"/>
      <w:sz w:val="58"/>
      <w:szCs w:val="5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5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F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5F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65F25"/>
    <w:rPr>
      <w:rFonts w:ascii="Times New Roman" w:eastAsia="Times New Roman" w:hAnsi="Times New Roman" w:cs="Times New Roman"/>
      <w:color w:val="000000"/>
      <w:sz w:val="29"/>
      <w:szCs w:val="29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F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F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5F25"/>
    <w:rPr>
      <w:b/>
      <w:bCs/>
    </w:rPr>
  </w:style>
  <w:style w:type="character" w:styleId="Emphasis">
    <w:name w:val="Emphasis"/>
    <w:basedOn w:val="DefaultParagraphFont"/>
    <w:uiPriority w:val="20"/>
    <w:qFormat/>
    <w:rsid w:val="00B65F25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65F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F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6602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A6602"/>
    <w:pPr>
      <w:spacing w:after="0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6602"/>
    <w:rPr>
      <w:rFonts w:ascii="Arial" w:eastAsia="Times New Roman" w:hAnsi="Arial" w:cs="Times New Roman"/>
      <w:bCs/>
      <w:sz w:val="20"/>
      <w:szCs w:val="20"/>
    </w:rPr>
  </w:style>
  <w:style w:type="character" w:styleId="FootnoteReference">
    <w:name w:val="footnote reference"/>
    <w:basedOn w:val="DefaultParagraphFont"/>
    <w:semiHidden/>
    <w:rsid w:val="001A6602"/>
    <w:rPr>
      <w:vertAlign w:val="superscript"/>
    </w:rPr>
  </w:style>
  <w:style w:type="character" w:styleId="Hyperlink">
    <w:name w:val="Hyperlink"/>
    <w:basedOn w:val="DefaultParagraphFont"/>
    <w:rsid w:val="001A6602"/>
    <w:rPr>
      <w:color w:val="0000FF"/>
      <w:u w:val="single"/>
    </w:rPr>
  </w:style>
  <w:style w:type="paragraph" w:customStyle="1" w:styleId="Default">
    <w:name w:val="Default"/>
    <w:rsid w:val="001A6602"/>
    <w:pPr>
      <w:autoSpaceDE w:val="0"/>
      <w:autoSpaceDN w:val="0"/>
      <w:adjustRightInd w:val="0"/>
      <w:spacing w:after="0" w:line="240" w:lineRule="auto"/>
    </w:pPr>
    <w:rPr>
      <w:rFonts w:ascii="Swis721 BT" w:eastAsia="Times New Roman" w:hAnsi="Swis721 BT" w:cs="Swis721 BT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1A6602"/>
    <w:pPr>
      <w:spacing w:after="0"/>
    </w:pPr>
    <w:rPr>
      <w:rFonts w:ascii="Arial" w:eastAsia="Times New Roman" w:hAnsi="Arial" w:cs="Times New Roman"/>
      <w:bCs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1A6602"/>
    <w:rPr>
      <w:rFonts w:ascii="Arial" w:eastAsia="Times New Roman" w:hAnsi="Arial" w:cs="Times New Roman"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71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134"/>
  </w:style>
  <w:style w:type="paragraph" w:styleId="Footer">
    <w:name w:val="footer"/>
    <w:basedOn w:val="Normal"/>
    <w:link w:val="FooterChar"/>
    <w:uiPriority w:val="99"/>
    <w:semiHidden/>
    <w:unhideWhenUsed/>
    <w:rsid w:val="002A71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1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tlee</dc:creator>
  <cp:keywords/>
  <dc:description/>
  <cp:lastModifiedBy>University of California</cp:lastModifiedBy>
  <cp:revision>2</cp:revision>
  <cp:lastPrinted>2012-01-29T20:55:00Z</cp:lastPrinted>
  <dcterms:created xsi:type="dcterms:W3CDTF">2014-09-15T21:28:00Z</dcterms:created>
  <dcterms:modified xsi:type="dcterms:W3CDTF">2014-09-15T21:28:00Z</dcterms:modified>
</cp:coreProperties>
</file>